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B5E6" w14:textId="77777777" w:rsidR="009650E7" w:rsidRDefault="009650E7" w:rsidP="009650E7">
      <w:pPr>
        <w:pStyle w:val="PGE-NotaExplicativa"/>
      </w:pPr>
      <w:r>
        <w:t>Nota Explicativa:</w:t>
      </w:r>
    </w:p>
    <w:p w14:paraId="19D209A1" w14:textId="77777777" w:rsidR="009650E7" w:rsidRDefault="009650E7" w:rsidP="009650E7">
      <w:pPr>
        <w:pStyle w:val="PGE-NotaExplicativa"/>
      </w:pPr>
      <w:r w:rsidRPr="009650E7">
        <w:t>Os requisitos de habilitação econômico-financeira apresentados a seguir poderão ser</w:t>
      </w:r>
      <w:r>
        <w:t xml:space="preserve"> utilizados para complementar ou substituir parcialmente o texto padronizado que consta das minutas padronizadas de requisitos de habilitação para compras, serviços com e sem dedicação exclusiva de mão de obra, obras e serviços de engenharia, conforme seja necessário em razão da dimensão do objeto licitado. Nesses casos, não é necessária a análise jurídica da Procuradoria-Geral do Estado, por se tratar de questão técnica, ressalvada dúvida jurídica específica.</w:t>
      </w:r>
    </w:p>
    <w:p w14:paraId="29C82D7F" w14:textId="77777777" w:rsidR="009650E7" w:rsidRDefault="009650E7" w:rsidP="009650E7">
      <w:pPr>
        <w:pStyle w:val="Ttulo"/>
      </w:pPr>
      <w:r>
        <w:t>ANEXO II - REQUISITOS DE HABILITAÇÃO</w:t>
      </w:r>
    </w:p>
    <w:p w14:paraId="7F8629F7" w14:textId="77777777" w:rsidR="009650E7" w:rsidRPr="005F74FD" w:rsidRDefault="009650E7" w:rsidP="009650E7">
      <w:pPr>
        <w:pStyle w:val="PGE-Normal"/>
        <w:ind w:firstLine="284"/>
      </w:pPr>
      <w:r>
        <w:t>Para fins de habilitação, deverá o licitante comprovar os seguintes requisitos:</w:t>
      </w:r>
    </w:p>
    <w:p w14:paraId="5904D7D9" w14:textId="77777777" w:rsidR="009650E7" w:rsidRDefault="009650E7" w:rsidP="00CB7AB7">
      <w:pPr>
        <w:pStyle w:val="PGE-Normal"/>
      </w:pPr>
      <w:r>
        <w:t>(...)</w:t>
      </w:r>
    </w:p>
    <w:p w14:paraId="29D9880F" w14:textId="77777777" w:rsidR="009650E7" w:rsidRDefault="009650E7" w:rsidP="009650E7">
      <w:pPr>
        <w:pStyle w:val="Ttulo1"/>
      </w:pPr>
      <w:r w:rsidRPr="00E129C9">
        <w:t>HABILITAÇÃO ECONÔMICO-FINANCEIRA</w:t>
      </w:r>
    </w:p>
    <w:p w14:paraId="19457454" w14:textId="77777777" w:rsidR="009650E7" w:rsidRPr="009C019A" w:rsidRDefault="009650E7" w:rsidP="009650E7">
      <w:pPr>
        <w:pStyle w:val="N11"/>
      </w:pPr>
      <w:r w:rsidRPr="006C67ED">
        <w:rPr>
          <w:b/>
        </w:rPr>
        <w:t>Certidão negativa de insolvência civil</w:t>
      </w:r>
      <w:r w:rsidRPr="009C019A">
        <w:t xml:space="preserve"> expedida pelo distribuidor do domicílio ou sede do licitante, caso se trate de </w:t>
      </w:r>
      <w:r>
        <w:t xml:space="preserve">sociedade simples ou de </w:t>
      </w:r>
      <w:r w:rsidRPr="009C019A">
        <w:t>pessoa física, desde que admitida a sua participação na licitação</w:t>
      </w:r>
      <w:r>
        <w:t>;</w:t>
      </w:r>
    </w:p>
    <w:p w14:paraId="188C7BEE" w14:textId="77777777" w:rsidR="009650E7" w:rsidRPr="00F4009E" w:rsidRDefault="009650E7" w:rsidP="009650E7">
      <w:pPr>
        <w:pStyle w:val="N11"/>
      </w:pPr>
      <w:r w:rsidRPr="006C67ED">
        <w:rPr>
          <w:b/>
        </w:rPr>
        <w:t>Certidão negativa de falência</w:t>
      </w:r>
      <w:r>
        <w:t xml:space="preserve"> expedida pelo distribuidor da sede do fornecedor, para as demais </w:t>
      </w:r>
      <w:r w:rsidRPr="00F4009E">
        <w:t>pessoas jurídicas;</w:t>
      </w:r>
    </w:p>
    <w:p w14:paraId="607B22E4" w14:textId="77777777" w:rsidR="009650E7" w:rsidRPr="00F4009E" w:rsidRDefault="009650E7" w:rsidP="009650E7">
      <w:pPr>
        <w:pStyle w:val="N11"/>
      </w:pPr>
      <w:r w:rsidRPr="00F4009E">
        <w:rPr>
          <w:rFonts w:eastAsia="Times New Roman" w:cs="Arial"/>
          <w:szCs w:val="24"/>
          <w:lang w:eastAsia="pt-BR"/>
        </w:rPr>
        <w:t xml:space="preserve">Caso a licitante se encontre em processo de </w:t>
      </w:r>
      <w:r w:rsidRPr="006C67ED">
        <w:rPr>
          <w:rFonts w:eastAsia="Times New Roman" w:cs="Arial"/>
          <w:b/>
          <w:szCs w:val="24"/>
          <w:lang w:eastAsia="pt-BR"/>
        </w:rPr>
        <w:t>recuperação judicial ou extrajudicial</w:t>
      </w:r>
      <w:r w:rsidRPr="00F4009E">
        <w:rPr>
          <w:rFonts w:eastAsia="Times New Roman" w:cs="Arial"/>
          <w:szCs w:val="24"/>
          <w:lang w:eastAsia="pt-BR"/>
        </w:rPr>
        <w:t>, deverá apresentar certidão emitida pela instância judicial competente certificando que a interessada está apta econômica e financeiramente a participar da licitação, além de cumprir todos os demais requisitos de habilitação exigidos por este Edital.</w:t>
      </w:r>
    </w:p>
    <w:p w14:paraId="6EF65EF7" w14:textId="77777777" w:rsidR="009650E7" w:rsidRDefault="009650E7" w:rsidP="009650E7">
      <w:pPr>
        <w:pStyle w:val="PGE-NotaExplicativa"/>
      </w:pPr>
      <w:r w:rsidRPr="009650E7">
        <w:t>Nota Explicativa: O STJ (REsp 1.826.299, julgado em 16/08/2022, AGInt no REsp 1.841.307, julgado em 2022, e ARESP 309.867/ES, julgado em 2018) e o TCU (Acórdão 1.697/2023, Acórdão 1.201/2020 e Acórdão 2.265/2020, todos do Plenário) entendem que empresa em recuperação judicial pode participar de licitação, atendidos todos os demais requisitos de habilitação.</w:t>
      </w:r>
    </w:p>
    <w:p w14:paraId="7CA61746" w14:textId="77777777" w:rsidR="00B67350" w:rsidRDefault="00B67350" w:rsidP="00B67350">
      <w:pPr>
        <w:pStyle w:val="N11"/>
      </w:pPr>
      <w:r w:rsidRPr="006C67ED">
        <w:rPr>
          <w:b/>
        </w:rPr>
        <w:t>Balanço Patrimonial (BP) e Demonstração de Resultado de Exercício (DRE)</w:t>
      </w:r>
      <w:r>
        <w:t xml:space="preserve"> </w:t>
      </w:r>
      <w:r>
        <w:rPr>
          <w:b/>
          <w:color w:val="FF0000"/>
        </w:rPr>
        <w:t>do último exercício social</w:t>
      </w:r>
      <w:r>
        <w:rPr>
          <w:b/>
        </w:rPr>
        <w:t>, comprovando</w:t>
      </w:r>
      <w:r>
        <w:t>:</w:t>
      </w:r>
    </w:p>
    <w:p w14:paraId="0AD7C7DA" w14:textId="77777777" w:rsidR="00B67350" w:rsidRDefault="00B67350" w:rsidP="00B67350">
      <w:pPr>
        <w:pStyle w:val="N111"/>
      </w:pPr>
      <w:r>
        <w:t xml:space="preserve">Índices de Liquidez Geral (LG), Liquidez Corrente (LC), e Solvência Geral (SG) </w:t>
      </w:r>
      <w:r>
        <w:rPr>
          <w:color w:val="FF0000"/>
        </w:rPr>
        <w:t xml:space="preserve">iguais ou </w:t>
      </w:r>
      <w:r>
        <w:t>superiores a 1 (um):</w:t>
      </w:r>
    </w:p>
    <w:p w14:paraId="131AAD92" w14:textId="77777777" w:rsidR="00B67350" w:rsidRPr="00A04023" w:rsidRDefault="00B67350" w:rsidP="00B67350">
      <w:pPr>
        <w:pStyle w:val="PGE-Normal"/>
        <w:spacing w:before="0" w:after="0"/>
        <w:rPr>
          <w:rFonts w:cs="Arial"/>
        </w:rPr>
      </w:pPr>
    </w:p>
    <w:p w14:paraId="0181766F" w14:textId="77777777" w:rsidR="00B67350" w:rsidRPr="00A04023" w:rsidRDefault="00B67350" w:rsidP="00B67350">
      <w:pPr>
        <w:pStyle w:val="PargrafodaLista"/>
        <w:spacing w:before="0" w:after="0"/>
        <w:ind w:left="0"/>
        <w:jc w:val="center"/>
        <w:rPr>
          <w:rFonts w:eastAsia="Cambria Math" w:cs="Arial"/>
          <w:szCs w:val="24"/>
        </w:rPr>
      </w:pPr>
      <m:oMathPara>
        <m:oMath>
          <m:r>
            <w:rPr>
              <w:rFonts w:ascii="Cambria Math" w:eastAsia="Cambria Math" w:hAnsi="Cambria Math" w:cs="Arial"/>
              <w:szCs w:val="24"/>
            </w:rPr>
            <m:t xml:space="preserve">ILG= </m:t>
          </m:r>
          <m:f>
            <m:fPr>
              <m:ctrlPr>
                <w:rPr>
                  <w:rFonts w:ascii="Cambria Math" w:eastAsia="Cambria Math" w:hAnsi="Cambria Math" w:cs="Arial"/>
                  <w:szCs w:val="24"/>
                </w:rPr>
              </m:ctrlPr>
            </m:fPr>
            <m:num>
              <m:r>
                <w:rPr>
                  <w:rFonts w:ascii="Cambria Math" w:eastAsia="Cambria Math" w:hAnsi="Cambria Math" w:cs="Arial"/>
                  <w:szCs w:val="24"/>
                </w:rPr>
                <m:t xml:space="preserve">ATIVO CIRCULANTE </m:t>
              </m:r>
              <m:d>
                <m:dPr>
                  <m:ctrlPr>
                    <w:rPr>
                      <w:rFonts w:ascii="Cambria Math" w:eastAsia="Cambria Math" w:hAnsi="Cambria Math" w:cs="Arial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 w:cs="Arial"/>
                      <w:szCs w:val="24"/>
                    </w:rPr>
                    <m:t>AC</m:t>
                  </m:r>
                </m:e>
              </m:d>
              <m:r>
                <w:rPr>
                  <w:rFonts w:ascii="Cambria Math" w:eastAsia="Cambria Math" w:hAnsi="Cambria Math" w:cs="Arial"/>
                  <w:szCs w:val="24"/>
                </w:rPr>
                <m:t>+REALIZÁVEL A LONGO PRAZO (RLP)</m:t>
              </m:r>
            </m:num>
            <m:den>
              <m:r>
                <w:rPr>
                  <w:rFonts w:ascii="Cambria Math" w:eastAsia="Cambria Math" w:hAnsi="Cambria Math" w:cs="Arial"/>
                  <w:szCs w:val="24"/>
                </w:rPr>
                <m:t xml:space="preserve">PASSIVO CIRCULANTE </m:t>
              </m:r>
              <m:d>
                <m:dPr>
                  <m:ctrlPr>
                    <w:rPr>
                      <w:rFonts w:ascii="Cambria Math" w:eastAsia="Cambria Math" w:hAnsi="Cambria Math" w:cs="Arial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 w:cs="Arial"/>
                      <w:szCs w:val="24"/>
                    </w:rPr>
                    <m:t>PC</m:t>
                  </m:r>
                </m:e>
              </m:d>
              <m:r>
                <w:rPr>
                  <w:rFonts w:ascii="Cambria Math" w:eastAsia="Cambria Math" w:hAnsi="Cambria Math" w:cs="Arial"/>
                  <w:szCs w:val="24"/>
                </w:rPr>
                <m:t>+PASSIVO NÃO CIRCULANTE (PNC)</m:t>
              </m:r>
            </m:den>
          </m:f>
        </m:oMath>
      </m:oMathPara>
    </w:p>
    <w:p w14:paraId="5EA9433C" w14:textId="77777777" w:rsidR="00B67350" w:rsidRPr="00A04023" w:rsidRDefault="00B67350" w:rsidP="00B67350">
      <w:pPr>
        <w:pStyle w:val="PGE-Normal"/>
        <w:spacing w:before="0" w:after="0"/>
        <w:rPr>
          <w:rFonts w:cs="Arial"/>
        </w:rPr>
      </w:pPr>
    </w:p>
    <w:p w14:paraId="1E853682" w14:textId="77777777" w:rsidR="00B67350" w:rsidRPr="00A04023" w:rsidRDefault="00B67350" w:rsidP="00B67350">
      <w:pPr>
        <w:pStyle w:val="PargrafodaLista"/>
        <w:spacing w:before="0" w:after="0"/>
        <w:ind w:left="0"/>
        <w:jc w:val="center"/>
        <w:rPr>
          <w:rFonts w:eastAsia="Cambria Math" w:cs="Arial"/>
          <w:szCs w:val="24"/>
        </w:rPr>
      </w:pPr>
      <m:oMathPara>
        <m:oMath>
          <m:r>
            <w:rPr>
              <w:rFonts w:ascii="Cambria Math" w:eastAsia="Cambria Math" w:hAnsi="Cambria Math" w:cs="Arial"/>
              <w:szCs w:val="24"/>
            </w:rPr>
            <w:lastRenderedPageBreak/>
            <m:t xml:space="preserve">ISG=  </m:t>
          </m:r>
          <m:f>
            <m:fPr>
              <m:ctrlPr>
                <w:rPr>
                  <w:rFonts w:ascii="Cambria Math" w:eastAsia="Cambria Math" w:hAnsi="Cambria Math" w:cs="Arial"/>
                  <w:szCs w:val="24"/>
                </w:rPr>
              </m:ctrlPr>
            </m:fPr>
            <m:num>
              <m:r>
                <w:rPr>
                  <w:rFonts w:ascii="Cambria Math" w:eastAsia="Cambria Math" w:hAnsi="Cambria Math" w:cs="Arial"/>
                  <w:szCs w:val="24"/>
                </w:rPr>
                <m:t>ATIVO TOTAL (AT)</m:t>
              </m:r>
            </m:num>
            <m:den>
              <m:r>
                <w:rPr>
                  <w:rFonts w:ascii="Cambria Math" w:eastAsia="Cambria Math" w:hAnsi="Cambria Math" w:cs="Arial"/>
                  <w:szCs w:val="24"/>
                </w:rPr>
                <m:t xml:space="preserve">PASSIVO CIRCULANTE </m:t>
              </m:r>
              <m:d>
                <m:dPr>
                  <m:ctrlPr>
                    <w:rPr>
                      <w:rFonts w:ascii="Cambria Math" w:eastAsia="Cambria Math" w:hAnsi="Cambria Math" w:cs="Arial"/>
                      <w:szCs w:val="24"/>
                    </w:rPr>
                  </m:ctrlPr>
                </m:dPr>
                <m:e>
                  <m:r>
                    <w:rPr>
                      <w:rFonts w:ascii="Cambria Math" w:eastAsia="Cambria Math" w:hAnsi="Cambria Math" w:cs="Arial"/>
                      <w:szCs w:val="24"/>
                    </w:rPr>
                    <m:t>PC</m:t>
                  </m:r>
                </m:e>
              </m:d>
              <m:r>
                <w:rPr>
                  <w:rFonts w:ascii="Cambria Math" w:eastAsia="Cambria Math" w:hAnsi="Cambria Math" w:cs="Arial"/>
                  <w:szCs w:val="24"/>
                </w:rPr>
                <m:t>+PASSIVO NÃO CIRCULANTE  (PNC)</m:t>
              </m:r>
            </m:den>
          </m:f>
        </m:oMath>
      </m:oMathPara>
    </w:p>
    <w:p w14:paraId="7788D2C5" w14:textId="77777777" w:rsidR="00B67350" w:rsidRPr="00A04023" w:rsidRDefault="00B67350" w:rsidP="00B67350">
      <w:pPr>
        <w:pStyle w:val="PGE-Normal"/>
        <w:spacing w:before="0" w:after="0"/>
        <w:rPr>
          <w:rFonts w:cs="Arial"/>
        </w:rPr>
      </w:pPr>
    </w:p>
    <w:p w14:paraId="570ABC96" w14:textId="77777777" w:rsidR="00B67350" w:rsidRPr="00A04023" w:rsidRDefault="00B67350" w:rsidP="00B67350">
      <w:pPr>
        <w:pStyle w:val="PargrafodaLista"/>
        <w:spacing w:before="0" w:after="0"/>
        <w:ind w:left="0"/>
        <w:jc w:val="center"/>
        <w:rPr>
          <w:rFonts w:eastAsia="Cambria Math" w:cs="Arial"/>
          <w:szCs w:val="24"/>
        </w:rPr>
      </w:pPr>
      <m:oMathPara>
        <m:oMath>
          <m:r>
            <w:rPr>
              <w:rFonts w:ascii="Cambria Math" w:eastAsia="Cambria Math" w:hAnsi="Cambria Math" w:cs="Arial"/>
              <w:szCs w:val="24"/>
            </w:rPr>
            <m:t xml:space="preserve">ILC = </m:t>
          </m:r>
          <m:f>
            <m:fPr>
              <m:ctrlPr>
                <w:rPr>
                  <w:rFonts w:ascii="Cambria Math" w:eastAsia="Cambria Math" w:hAnsi="Cambria Math" w:cs="Arial"/>
                  <w:szCs w:val="24"/>
                </w:rPr>
              </m:ctrlPr>
            </m:fPr>
            <m:num>
              <m:r>
                <w:rPr>
                  <w:rFonts w:ascii="Cambria Math" w:eastAsia="Cambria Math" w:hAnsi="Cambria Math" w:cs="Arial"/>
                  <w:szCs w:val="24"/>
                </w:rPr>
                <m:t>ATIVO CIRCULANTE (AC)</m:t>
              </m:r>
            </m:num>
            <m:den>
              <m:r>
                <w:rPr>
                  <w:rFonts w:ascii="Cambria Math" w:eastAsia="Cambria Math" w:hAnsi="Cambria Math" w:cs="Arial"/>
                  <w:szCs w:val="24"/>
                </w:rPr>
                <m:t>PASSIVO CIRCULANTE (PC)</m:t>
              </m:r>
            </m:den>
          </m:f>
        </m:oMath>
      </m:oMathPara>
    </w:p>
    <w:p w14:paraId="51F1AB6B" w14:textId="77777777" w:rsidR="00B67350" w:rsidRDefault="00B67350" w:rsidP="00B67350">
      <w:pPr>
        <w:pStyle w:val="PGE-Normal"/>
        <w:spacing w:before="0" w:after="0"/>
        <w:rPr>
          <w:rFonts w:cs="Arial"/>
        </w:rPr>
      </w:pPr>
    </w:p>
    <w:p w14:paraId="3F4A1B69" w14:textId="77777777" w:rsidR="00A7173E" w:rsidRDefault="00000000">
      <w:pPr>
        <w:pStyle w:val="PGE-NotaExplicativa"/>
      </w:pPr>
      <w:r>
        <w:rPr>
          <w:b/>
          <w:color w:val="FF0000"/>
        </w:rPr>
        <w:t>Nota Explicativa</w:t>
      </w:r>
      <w:r>
        <w:rPr>
          <w:color w:val="FF0000"/>
        </w:rPr>
        <w:t>: Esta minuta exige, como regra, o Balanço Patrimonial (BP) e a Demonstração de Resultado de Exercício (DRE) apenas do último exercício social, já exigíveis na forma da lei. Os índices contábeis serão aferidos com base nesse exercício.</w:t>
      </w:r>
    </w:p>
    <w:p w14:paraId="190A686F" w14:textId="77777777" w:rsidR="00A7173E" w:rsidRDefault="00000000">
      <w:pPr>
        <w:pStyle w:val="PGE-NotaExplicativa"/>
      </w:pPr>
      <w:r>
        <w:rPr>
          <w:color w:val="FF0000"/>
        </w:rPr>
        <w:t>O fundamento é o Acórdão nº 2.418/2026-TCU-Plenário (Rel. Min. Benjamin Zymler, sessão de 9/9/2026). Para o TCU, o art. 69, I, da Lei 14.133/2021, ao fazer referência às demonstrações contábeis dos dois últimos exercícios sociais, não impõe que todos os requisitos econômico-financeiros previstos no edital sejam atendidos em cada um desses exercícios. A expressão deve ser compreendida como autorização para que a Administração examine até os dois últimos exercícios. Isso porque os índices de liquidez, o capital circulante e o patrimônio líquido buscam retratar a capacidade financeira da licitante no momento da contratação. A repetição da aferição em exercício pretérito não acrescenta, por si só, segurança quanto à capacidade financeira presente. Assim, a aferição com base no último exercício social é a solução ordinária (itens 34 a 37 e 43 do voto).</w:t>
      </w:r>
    </w:p>
    <w:p w14:paraId="3F552345" w14:textId="77777777" w:rsidR="00A7173E" w:rsidRDefault="00000000">
      <w:pPr>
        <w:pStyle w:val="PGE-NotaExplicativa"/>
      </w:pPr>
      <w:r>
        <w:rPr>
          <w:color w:val="FF0000"/>
        </w:rPr>
        <w:t>O mesmo entendimento consta do Parecer nº 00017/2024/CNLCA/CGU/AGU (NUP 08658.083758/2024-38), citado nos itens 39 e 40 do voto. O parecer concluiu que, nas contratações de serviços com dedicação exclusiva de mão de obra, os índices contábeis, o Capital Circulante Líquido e o patrimônio líquido mínimo devem ter como base as demonstrações contábeis do último exercício social, salvo justificativa específica do gestor para estender a exigência a 2 (dois) exercícios sociais. Embora o parecer trate daquela espécie de contratação, o TCU adotou a mesma racionalidade como orientação geral. Para tanto, apoiou-se também no modelo de Termo de Referência da AGU, que apresenta como alternativas o último exercício social ou os dois últimos (item 38 do voto).</w:t>
      </w:r>
    </w:p>
    <w:p w14:paraId="4036E9B4" w14:textId="77777777" w:rsidR="00A7173E" w:rsidRDefault="00000000">
      <w:pPr>
        <w:pStyle w:val="PGE-NotaExplicativa"/>
      </w:pPr>
      <w:r>
        <w:rPr>
          <w:color w:val="FF0000"/>
        </w:rPr>
        <w:t>É possível, contudo, exigir as demonstrações contábeis dos 2 (dois) últimos exercícios sociais. Essa opção não é automática. A exigência deve ser motivada no Termo de Referência, com justificativa técnica específica que demonstre sua necessidade e sua pertinência para o risco que se pretende mitigar, considerando a natureza do indicador e os riscos da contratação. Nesse caso, a redação do item deverá ser ajustada para “dos 2 (dois) últimos exercícios sociais”.</w:t>
      </w:r>
    </w:p>
    <w:p w14:paraId="15B07DDA" w14:textId="77777777" w:rsidR="00B67350" w:rsidRDefault="00B67350" w:rsidP="00B67350">
      <w:pPr>
        <w:pStyle w:val="N111"/>
      </w:pPr>
      <w:r>
        <w:t xml:space="preserve">Quando qualquer dos índices for </w:t>
      </w:r>
      <w:r>
        <w:rPr>
          <w:color w:val="FF0000"/>
        </w:rPr>
        <w:t>inferior a 1 (um)</w:t>
      </w:r>
      <w:r>
        <w:t>, poderá o licitante atender ao requisito de habilitação demonstrando patrimônio líquido não inferior a 10% (dez por cento) do valor estimado da contratação.</w:t>
      </w:r>
    </w:p>
    <w:p w14:paraId="2ED8D768" w14:textId="77777777" w:rsidR="00B67350" w:rsidRDefault="00B67350" w:rsidP="00B67350">
      <w:pPr>
        <w:pStyle w:val="PGE-NotaExplicativa"/>
      </w:pPr>
      <w:r>
        <w:lastRenderedPageBreak/>
        <w:t xml:space="preserve">Nota Explicativa: O requisito acima oferece uma alternativa aos licitantes que não contam com os índices contábeis exigidos, ampliando a competição. Outra possibilidade é prever que cumulativamente os índices e o patrimônio líquido mínimo, como feito nas minutas de obras e serviços com dedicação exclusiva de mão de obra. A Administração deve avaliar qual a melhor solução, segundo critérios técnicos. Se for esta segunda opção, o item acima </w:t>
      </w:r>
      <w:r w:rsidR="0083756C">
        <w:t>deve</w:t>
      </w:r>
      <w:r>
        <w:t xml:space="preserve"> ser </w:t>
      </w:r>
      <w:r w:rsidR="0083756C">
        <w:t xml:space="preserve">excluído e, se for o caso, poderá ser incluído o item </w:t>
      </w:r>
      <w:r>
        <w:t xml:space="preserve">seguinte (em vermelho):  </w:t>
      </w:r>
    </w:p>
    <w:p w14:paraId="4FCC87FF" w14:textId="77777777" w:rsidR="00B67350" w:rsidRPr="0083756C" w:rsidRDefault="0083756C" w:rsidP="0083756C">
      <w:pPr>
        <w:pStyle w:val="N111"/>
        <w:rPr>
          <w:color w:val="FF0000"/>
        </w:rPr>
      </w:pPr>
      <w:r w:rsidRPr="0083756C">
        <w:rPr>
          <w:color w:val="FF0000"/>
        </w:rPr>
        <w:t>Patrimônio Líquido de 10% (dez por cento) do valor estimado da contratação</w:t>
      </w:r>
      <w:r>
        <w:rPr>
          <w:color w:val="FF0000"/>
        </w:rPr>
        <w:t>.</w:t>
      </w:r>
    </w:p>
    <w:p w14:paraId="748A2BF5" w14:textId="77777777" w:rsidR="00706CA9" w:rsidRDefault="00706CA9" w:rsidP="00706CA9">
      <w:pPr>
        <w:pStyle w:val="N11"/>
      </w:pPr>
      <w:r>
        <w:t>Os documentos referidos acima (BP e DRE) serão os já exigíveis na forma da lei, com base no limite definido pela Receita Federal do Brasil para transmissão da Escrituração Contábil Digital (ECD) ao SPED ou, se a empresa não estiver obrigada ao SPED</w:t>
      </w:r>
      <w:r w:rsidRPr="003E7776">
        <w:t xml:space="preserve">, </w:t>
      </w:r>
      <w:r>
        <w:t>observando a data de exigibilidade do art. 1.078, I, do Código Civil.</w:t>
      </w:r>
    </w:p>
    <w:p w14:paraId="73C54C8A" w14:textId="77777777" w:rsidR="00706CA9" w:rsidRDefault="00706CA9" w:rsidP="00706CA9">
      <w:pPr>
        <w:pStyle w:val="N11"/>
      </w:pPr>
      <w:r w:rsidRPr="00FA1595">
        <w:rPr>
          <w:b/>
        </w:rPr>
        <w:t>D</w:t>
      </w:r>
      <w:r w:rsidRPr="001B0538">
        <w:rPr>
          <w:b/>
        </w:rPr>
        <w:t>eclaração assinada por profissional habilitado da área contábil</w:t>
      </w:r>
      <w:r w:rsidRPr="002E6068">
        <w:t xml:space="preserve">, apresentada pelo </w:t>
      </w:r>
      <w:r>
        <w:t>licitante, demonstrando o atendimento dos índices e coeficientes para cada exercício a que se referem as demonstrações contábeis, bem como demonstrando o patrimônio líquido mínimo exigido no último exercício</w:t>
      </w:r>
      <w:r w:rsidRPr="002E6068">
        <w:t>.</w:t>
      </w:r>
    </w:p>
    <w:p w14:paraId="731631C1" w14:textId="77777777" w:rsidR="00D833C6" w:rsidRDefault="00D833C6" w:rsidP="00D833C6">
      <w:pPr>
        <w:pStyle w:val="N11"/>
      </w:pPr>
      <w:r w:rsidRPr="00095F75">
        <w:rPr>
          <w:b/>
        </w:rPr>
        <w:t>Declaração do licitante</w:t>
      </w:r>
      <w:r>
        <w:rPr>
          <w:b/>
        </w:rPr>
        <w:t xml:space="preserve"> </w:t>
      </w:r>
      <w:r w:rsidRPr="00095F75">
        <w:t>(</w:t>
      </w:r>
      <w:r>
        <w:t xml:space="preserve">art. 69, § 3º, da Lei 14.133/2021), indicando a relação de compromissos assumidos que importem em diminuição de sua capacidade econômico-financeira, </w:t>
      </w:r>
      <w:r w:rsidRPr="003E7776">
        <w:t>de</w:t>
      </w:r>
      <w:r>
        <w:t>monstrando</w:t>
      </w:r>
      <w:r w:rsidRPr="003E7776">
        <w:t xml:space="preserve"> que o Patrimônio Líquido do licitante é igual ou superior a 1/12 (um doze avos) do valor total dos contratos firmados (considerando-se o saldo a executar pendente, excluindo-se as parcelas já executadas) pel</w:t>
      </w:r>
      <w:r>
        <w:t>o</w:t>
      </w:r>
      <w:r w:rsidRPr="003E7776">
        <w:t xml:space="preserve"> licitante com entidades públicas e privadas, vigentes na data da sessão pública de abertura desta licitação</w:t>
      </w:r>
      <w:r>
        <w:t xml:space="preserve">, conforme modelo constante </w:t>
      </w:r>
      <w:r w:rsidRPr="00095F75">
        <w:rPr>
          <w:color w:val="FF0000"/>
        </w:rPr>
        <w:t>do Anexo XXX</w:t>
      </w:r>
      <w:r w:rsidRPr="003E7776">
        <w:t>.</w:t>
      </w:r>
    </w:p>
    <w:p w14:paraId="357FC169" w14:textId="77777777" w:rsidR="00D833C6" w:rsidRPr="007E40DB" w:rsidRDefault="00D833C6" w:rsidP="00D833C6">
      <w:pPr>
        <w:pStyle w:val="N111"/>
      </w:pPr>
      <w:r>
        <w:t>A declaração deverá ser analisada em relação à receita bruta apresentada na Demonstração do Resultado do Exercício (DRE), relativa ao último exercício social; e</w:t>
      </w:r>
    </w:p>
    <w:p w14:paraId="012B9C36" w14:textId="77777777" w:rsidR="00D833C6" w:rsidRPr="007E40DB" w:rsidRDefault="00D833C6" w:rsidP="00D833C6">
      <w:pPr>
        <w:pStyle w:val="N111"/>
      </w:pPr>
      <w:r>
        <w:t>Caso a diferença entre a declaração e a receita bruta apresentada na Demonstração do Resultado do Exercício (DRE) apresentada seja superior a 10% (dez por cento), para mais ou para menos, o licitante deverá apresentar justificativas para tal diferença.</w:t>
      </w:r>
    </w:p>
    <w:p w14:paraId="0114668A" w14:textId="77777777" w:rsidR="00706CA9" w:rsidRDefault="00706CA9" w:rsidP="00706CA9">
      <w:pPr>
        <w:pStyle w:val="N11"/>
      </w:pPr>
      <w:r>
        <w:t>As empresas criadas no exercício financeiro da licitação deverão atender a todas as exigências da habilitação e poderão substituir os demonstrativos contábeis pelo balanço de abertura.</w:t>
      </w:r>
    </w:p>
    <w:p w14:paraId="06AE61FA" w14:textId="77777777" w:rsidR="00706CA9" w:rsidRDefault="00706CA9" w:rsidP="00706CA9">
      <w:pPr>
        <w:pStyle w:val="N11"/>
      </w:pPr>
      <w:r>
        <w:t>Os documentos referidos acima limitar-se-ão ao último exercício no caso de a pessoa jurídica ter sido constituída há menos de 2 (dois) anos.</w:t>
      </w:r>
    </w:p>
    <w:p w14:paraId="6AF16861" w14:textId="77777777" w:rsidR="00706CA9" w:rsidRDefault="00706CA9" w:rsidP="00706CA9">
      <w:pPr>
        <w:pStyle w:val="N11"/>
      </w:pPr>
      <w:r w:rsidRPr="00871557">
        <w:t xml:space="preserve">No caso de consórcio, </w:t>
      </w:r>
      <w:r>
        <w:t xml:space="preserve">se admitida a sua participação no edital, </w:t>
      </w:r>
      <w:r w:rsidRPr="00871557">
        <w:t>deverá haver a demonstração, por cada consorciado, do atendimento aos índices contábeis definidos neste Edital.</w:t>
      </w:r>
    </w:p>
    <w:p w14:paraId="4A3E3769" w14:textId="77777777" w:rsidR="00D833C6" w:rsidRDefault="00D833C6" w:rsidP="00D833C6">
      <w:pPr>
        <w:pStyle w:val="N11"/>
      </w:pPr>
      <w:r w:rsidRPr="003F5DDF">
        <w:t xml:space="preserve">Os valores constantes do Balanço </w:t>
      </w:r>
      <w:r>
        <w:t xml:space="preserve">poderão ser atualizados pelos licitantes, </w:t>
      </w:r>
      <w:r w:rsidRPr="003F5DDF">
        <w:t xml:space="preserve">para a </w:t>
      </w:r>
      <w:r w:rsidRPr="00095F75">
        <w:rPr>
          <w:color w:val="FF0000"/>
        </w:rPr>
        <w:t>data-base do orçamento</w:t>
      </w:r>
      <w:r>
        <w:t>,</w:t>
      </w:r>
      <w:r w:rsidRPr="003F5DDF">
        <w:t xml:space="preserve"> estimado pelo </w:t>
      </w:r>
      <w:r w:rsidRPr="00095F75">
        <w:rPr>
          <w:color w:val="FF0000"/>
        </w:rPr>
        <w:t>Índice Geral de Preços (IGP-DI) da Fundação Getúlio Vargas</w:t>
      </w:r>
      <w:r w:rsidRPr="003F5DDF">
        <w:t>, para fins de cálculo do Patrimônio Líquido mínimo.</w:t>
      </w:r>
    </w:p>
    <w:p w14:paraId="4FE0A6B6" w14:textId="77777777" w:rsidR="00D833C6" w:rsidRDefault="00D833C6" w:rsidP="00D833C6">
      <w:pPr>
        <w:pStyle w:val="PGE-NotaExplicativa"/>
      </w:pPr>
      <w:r>
        <w:lastRenderedPageBreak/>
        <w:t>Cabe a Administração escolher o índice que melhor atende ao propósito deste item.</w:t>
      </w:r>
    </w:p>
    <w:sectPr w:rsidR="00D833C6" w:rsidSect="00CF410C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2B56"/>
    <w:multiLevelType w:val="multilevel"/>
    <w:tmpl w:val="AB08CDFA"/>
    <w:styleLink w:val="T-111"/>
    <w:lvl w:ilvl="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%1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26275215"/>
    <w:multiLevelType w:val="multilevel"/>
    <w:tmpl w:val="74A8ABF4"/>
    <w:name w:val="padronizadas2"/>
    <w:lvl w:ilvl="0">
      <w:start w:val="1"/>
      <w:numFmt w:val="decimal"/>
      <w:pStyle w:val="Ttulo1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11"/>
      <w:suff w:val="space"/>
      <w:lvlText w:val="%1.%2 -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111"/>
      <w:suff w:val="space"/>
      <w:lvlText w:val="%1.%2.%3 -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1111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pStyle w:val="Nabc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9AB47B1"/>
    <w:multiLevelType w:val="multilevel"/>
    <w:tmpl w:val="B57CF6A6"/>
    <w:name w:val="padronizadas"/>
    <w:lvl w:ilvl="0">
      <w:start w:val="1"/>
      <w:numFmt w:val="decimal"/>
      <w:suff w:val="space"/>
      <w:lvlText w:val="%1 -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 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 -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 -"/>
      <w:lvlJc w:val="left"/>
      <w:pPr>
        <w:ind w:left="0" w:firstLine="0"/>
      </w:pPr>
      <w:rPr>
        <w:rFonts w:hint="default"/>
      </w:rPr>
    </w:lvl>
    <w:lvl w:ilvl="6">
      <w:start w:val="1"/>
      <w:numFmt w:val="lowerLetter"/>
      <w:lvlRestart w:val="2"/>
      <w:suff w:val="space"/>
      <w:lvlText w:val="(%7)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 -"/>
      <w:lvlJc w:val="left"/>
      <w:pPr>
        <w:ind w:left="0" w:firstLine="0"/>
      </w:pPr>
      <w:rPr>
        <w:rFonts w:hint="default"/>
      </w:rPr>
    </w:lvl>
  </w:abstractNum>
  <w:num w:numId="1" w16cid:durableId="319116891">
    <w:abstractNumId w:val="0"/>
  </w:num>
  <w:num w:numId="2" w16cid:durableId="1006051505">
    <w:abstractNumId w:val="2"/>
  </w:num>
  <w:num w:numId="3" w16cid:durableId="20126814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4098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24"/>
    <w:rsid w:val="000309BB"/>
    <w:rsid w:val="00061483"/>
    <w:rsid w:val="00115F82"/>
    <w:rsid w:val="001A6048"/>
    <w:rsid w:val="001B6787"/>
    <w:rsid w:val="001C541E"/>
    <w:rsid w:val="0026041F"/>
    <w:rsid w:val="00261AB3"/>
    <w:rsid w:val="002F1AA9"/>
    <w:rsid w:val="00314C86"/>
    <w:rsid w:val="003B6621"/>
    <w:rsid w:val="003C6F24"/>
    <w:rsid w:val="003F1651"/>
    <w:rsid w:val="004272CB"/>
    <w:rsid w:val="00446DFF"/>
    <w:rsid w:val="0047063B"/>
    <w:rsid w:val="00483843"/>
    <w:rsid w:val="004A6B3F"/>
    <w:rsid w:val="004B474D"/>
    <w:rsid w:val="005409F9"/>
    <w:rsid w:val="005A2AAD"/>
    <w:rsid w:val="00647AD6"/>
    <w:rsid w:val="00706CA9"/>
    <w:rsid w:val="00800576"/>
    <w:rsid w:val="0082657B"/>
    <w:rsid w:val="0083756C"/>
    <w:rsid w:val="008B0DCE"/>
    <w:rsid w:val="00957F3C"/>
    <w:rsid w:val="0096245D"/>
    <w:rsid w:val="009650E7"/>
    <w:rsid w:val="00A43621"/>
    <w:rsid w:val="00A66F31"/>
    <w:rsid w:val="00A7173E"/>
    <w:rsid w:val="00B67350"/>
    <w:rsid w:val="00C207ED"/>
    <w:rsid w:val="00C71FCC"/>
    <w:rsid w:val="00CB4316"/>
    <w:rsid w:val="00CB7AB7"/>
    <w:rsid w:val="00CF410C"/>
    <w:rsid w:val="00D36E46"/>
    <w:rsid w:val="00D833C6"/>
    <w:rsid w:val="00DC7A89"/>
    <w:rsid w:val="00E54244"/>
    <w:rsid w:val="00F47FBF"/>
    <w:rsid w:val="00F53FDC"/>
    <w:rsid w:val="00F71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EDEE"/>
  <w15:chartTrackingRefBased/>
  <w15:docId w15:val="{2EDA9A1F-7F4F-4029-857F-A5732154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309BB"/>
    <w:pPr>
      <w:spacing w:before="240" w:after="240" w:line="240" w:lineRule="auto"/>
      <w:jc w:val="both"/>
    </w:pPr>
    <w:rPr>
      <w:rFonts w:ascii="Arial" w:hAnsi="Arial"/>
      <w:sz w:val="24"/>
    </w:rPr>
  </w:style>
  <w:style w:type="paragraph" w:styleId="Ttulo1">
    <w:name w:val="heading 1"/>
    <w:aliases w:val="Título 1 (com numeração)"/>
    <w:basedOn w:val="Normal"/>
    <w:next w:val="N11"/>
    <w:link w:val="Ttulo1Char"/>
    <w:uiPriority w:val="9"/>
    <w:qFormat/>
    <w:rsid w:val="00061483"/>
    <w:pPr>
      <w:numPr>
        <w:numId w:val="4"/>
      </w:numPr>
      <w:spacing w:before="48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aliases w:val="Título 2 (sem numeração)"/>
    <w:basedOn w:val="Normal"/>
    <w:next w:val="PGE-Normal"/>
    <w:link w:val="Ttulo2Char"/>
    <w:uiPriority w:val="9"/>
    <w:semiHidden/>
    <w:unhideWhenUsed/>
    <w:qFormat/>
    <w:rsid w:val="00115F82"/>
    <w:pPr>
      <w:keepNext/>
      <w:keepLines/>
      <w:spacing w:before="480"/>
      <w:outlineLvl w:val="1"/>
    </w:pPr>
    <w:rPr>
      <w:rFonts w:eastAsiaTheme="majorEastAsia" w:cstheme="majorBidi"/>
      <w:b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T-111">
    <w:name w:val="T - 1.1.1"/>
    <w:basedOn w:val="Semlista"/>
    <w:uiPriority w:val="99"/>
    <w:rsid w:val="003B6621"/>
    <w:pPr>
      <w:numPr>
        <w:numId w:val="1"/>
      </w:numPr>
    </w:pPr>
  </w:style>
  <w:style w:type="character" w:customStyle="1" w:styleId="Ttulo1Char">
    <w:name w:val="Título 1 Char"/>
    <w:aliases w:val="Título 1 (com numeração) Char"/>
    <w:basedOn w:val="Fontepargpadro"/>
    <w:link w:val="Ttulo1"/>
    <w:uiPriority w:val="9"/>
    <w:rsid w:val="00061483"/>
    <w:rPr>
      <w:rFonts w:ascii="Arial" w:eastAsiaTheme="majorEastAsia" w:hAnsi="Arial" w:cstheme="majorBidi"/>
      <w:b/>
      <w:sz w:val="24"/>
      <w:szCs w:val="32"/>
    </w:rPr>
  </w:style>
  <w:style w:type="paragraph" w:customStyle="1" w:styleId="N11">
    <w:name w:val="N 1.1"/>
    <w:basedOn w:val="Normal"/>
    <w:link w:val="N11Char"/>
    <w:qFormat/>
    <w:rsid w:val="000309BB"/>
    <w:pPr>
      <w:numPr>
        <w:ilvl w:val="1"/>
        <w:numId w:val="4"/>
      </w:numPr>
    </w:pPr>
  </w:style>
  <w:style w:type="paragraph" w:customStyle="1" w:styleId="N111">
    <w:name w:val="N 1.1.1"/>
    <w:basedOn w:val="N11"/>
    <w:link w:val="N111Char"/>
    <w:qFormat/>
    <w:rsid w:val="00800576"/>
    <w:pPr>
      <w:numPr>
        <w:ilvl w:val="2"/>
      </w:numPr>
      <w:ind w:left="284"/>
    </w:pPr>
  </w:style>
  <w:style w:type="paragraph" w:customStyle="1" w:styleId="N1111">
    <w:name w:val="N 1.1.1.1"/>
    <w:basedOn w:val="N111"/>
    <w:link w:val="N1111Char"/>
    <w:qFormat/>
    <w:rsid w:val="00800576"/>
    <w:pPr>
      <w:numPr>
        <w:ilvl w:val="3"/>
      </w:numPr>
      <w:ind w:left="567"/>
    </w:pPr>
  </w:style>
  <w:style w:type="character" w:customStyle="1" w:styleId="Ttulo2Char">
    <w:name w:val="Título 2 Char"/>
    <w:aliases w:val="Título 2 (sem numeração) Char"/>
    <w:basedOn w:val="Fontepargpadro"/>
    <w:link w:val="Ttulo2"/>
    <w:uiPriority w:val="9"/>
    <w:semiHidden/>
    <w:rsid w:val="00115F82"/>
    <w:rPr>
      <w:rFonts w:ascii="Arial" w:eastAsiaTheme="majorEastAsia" w:hAnsi="Arial" w:cstheme="majorBidi"/>
      <w:b/>
      <w:sz w:val="24"/>
      <w:szCs w:val="26"/>
    </w:rPr>
  </w:style>
  <w:style w:type="paragraph" w:styleId="Ttulo">
    <w:name w:val="Title"/>
    <w:aliases w:val="Título (para Anexos)"/>
    <w:basedOn w:val="Normal"/>
    <w:next w:val="PGE-Normal"/>
    <w:link w:val="TtuloChar"/>
    <w:uiPriority w:val="10"/>
    <w:qFormat/>
    <w:rsid w:val="000309BB"/>
    <w:pPr>
      <w:spacing w:before="360" w:after="360"/>
      <w:jc w:val="center"/>
      <w:outlineLvl w:val="0"/>
    </w:pPr>
    <w:rPr>
      <w:rFonts w:eastAsiaTheme="majorEastAsia" w:cstheme="majorBidi"/>
      <w:b/>
      <w:i/>
      <w:spacing w:val="-10"/>
      <w:kern w:val="28"/>
      <w:sz w:val="28"/>
      <w:szCs w:val="56"/>
    </w:rPr>
  </w:style>
  <w:style w:type="character" w:customStyle="1" w:styleId="TtuloChar">
    <w:name w:val="Título Char"/>
    <w:aliases w:val="Título (para Anexos) Char"/>
    <w:basedOn w:val="Fontepargpadro"/>
    <w:link w:val="Ttulo"/>
    <w:uiPriority w:val="10"/>
    <w:rsid w:val="000309BB"/>
    <w:rPr>
      <w:rFonts w:ascii="Arial" w:eastAsiaTheme="majorEastAsia" w:hAnsi="Arial" w:cstheme="majorBidi"/>
      <w:b/>
      <w:i/>
      <w:spacing w:val="-10"/>
      <w:kern w:val="28"/>
      <w:sz w:val="28"/>
      <w:szCs w:val="56"/>
    </w:rPr>
  </w:style>
  <w:style w:type="character" w:customStyle="1" w:styleId="N11Char">
    <w:name w:val="N 1.1 Char"/>
    <w:basedOn w:val="Fontepargpadro"/>
    <w:link w:val="N11"/>
    <w:rsid w:val="000309BB"/>
    <w:rPr>
      <w:rFonts w:ascii="Arial" w:hAnsi="Arial"/>
      <w:sz w:val="24"/>
    </w:rPr>
  </w:style>
  <w:style w:type="character" w:customStyle="1" w:styleId="N111Char">
    <w:name w:val="N 1.1.1 Char"/>
    <w:basedOn w:val="N11Char"/>
    <w:link w:val="N111"/>
    <w:rsid w:val="00800576"/>
    <w:rPr>
      <w:rFonts w:ascii="Arial" w:hAnsi="Arial"/>
      <w:sz w:val="24"/>
    </w:rPr>
  </w:style>
  <w:style w:type="character" w:customStyle="1" w:styleId="N1111Char">
    <w:name w:val="N 1.1.1.1 Char"/>
    <w:basedOn w:val="N111Char"/>
    <w:link w:val="N1111"/>
    <w:rsid w:val="00800576"/>
    <w:rPr>
      <w:rFonts w:ascii="Arial" w:hAnsi="Arial"/>
      <w:sz w:val="24"/>
    </w:rPr>
  </w:style>
  <w:style w:type="paragraph" w:customStyle="1" w:styleId="Nabc">
    <w:name w:val="N abc"/>
    <w:basedOn w:val="Normal"/>
    <w:link w:val="NabcChar"/>
    <w:qFormat/>
    <w:rsid w:val="00800576"/>
    <w:pPr>
      <w:numPr>
        <w:ilvl w:val="6"/>
        <w:numId w:val="4"/>
      </w:numPr>
      <w:ind w:left="284"/>
    </w:pPr>
    <w:rPr>
      <w:lang w:val="it-IT"/>
    </w:rPr>
  </w:style>
  <w:style w:type="character" w:customStyle="1" w:styleId="NabcChar">
    <w:name w:val="N abc Char"/>
    <w:basedOn w:val="Fontepargpadro"/>
    <w:link w:val="Nabc"/>
    <w:rsid w:val="00800576"/>
    <w:rPr>
      <w:rFonts w:ascii="Arial" w:hAnsi="Arial"/>
      <w:sz w:val="24"/>
      <w:lang w:val="it-IT"/>
    </w:rPr>
  </w:style>
  <w:style w:type="paragraph" w:customStyle="1" w:styleId="PGE-Normal">
    <w:name w:val="PGE-Normal"/>
    <w:basedOn w:val="Normal"/>
    <w:qFormat/>
    <w:rsid w:val="00A43621"/>
  </w:style>
  <w:style w:type="paragraph" w:customStyle="1" w:styleId="PGE-NotaExplicativa">
    <w:name w:val="PGE-NotaExplicativa"/>
    <w:basedOn w:val="Normal"/>
    <w:link w:val="PGE-NotaExplicativaChar"/>
    <w:qFormat/>
    <w:rsid w:val="001C541E"/>
    <w:pPr>
      <w:pBdr>
        <w:top w:val="dashed" w:sz="4" w:space="1" w:color="auto"/>
        <w:left w:val="dashed" w:sz="4" w:space="4" w:color="auto"/>
        <w:bottom w:val="dashed" w:sz="4" w:space="1" w:color="auto"/>
        <w:right w:val="dashed" w:sz="4" w:space="4" w:color="auto"/>
      </w:pBdr>
      <w:shd w:val="clear" w:color="auto" w:fill="FFFF00"/>
    </w:pPr>
    <w:rPr>
      <w:rFonts w:ascii="Consolas" w:eastAsia="Calibri" w:hAnsi="Consolas" w:cs="Times New Roman"/>
    </w:rPr>
  </w:style>
  <w:style w:type="character" w:customStyle="1" w:styleId="PGE-NotaExplicativaChar">
    <w:name w:val="PGE-NotaExplicativa Char"/>
    <w:link w:val="PGE-NotaExplicativa"/>
    <w:rsid w:val="001C541E"/>
    <w:rPr>
      <w:rFonts w:ascii="Consolas" w:eastAsia="Calibri" w:hAnsi="Consolas" w:cs="Times New Roman"/>
      <w:sz w:val="24"/>
      <w:shd w:val="clear" w:color="auto" w:fill="FFFF00"/>
    </w:rPr>
  </w:style>
  <w:style w:type="paragraph" w:customStyle="1" w:styleId="Padro">
    <w:name w:val="Padrão"/>
    <w:rsid w:val="001C541E"/>
    <w:pPr>
      <w:spacing w:before="240" w:after="240" w:line="240" w:lineRule="auto"/>
      <w:jc w:val="both"/>
    </w:pPr>
    <w:rPr>
      <w:rFonts w:ascii="Arial" w:eastAsia="Calibri" w:hAnsi="Arial" w:cs="Times New Roman"/>
      <w:sz w:val="24"/>
    </w:rPr>
  </w:style>
  <w:style w:type="paragraph" w:styleId="PargrafodaLista">
    <w:name w:val="List Paragraph"/>
    <w:basedOn w:val="Normal"/>
    <w:link w:val="PargrafodaListaChar"/>
    <w:uiPriority w:val="34"/>
    <w:rsid w:val="00B67350"/>
    <w:pPr>
      <w:ind w:left="720"/>
      <w:contextualSpacing/>
    </w:pPr>
  </w:style>
  <w:style w:type="character" w:customStyle="1" w:styleId="PargrafodaListaChar">
    <w:name w:val="Parágrafo da Lista Char"/>
    <w:basedOn w:val="Fontepargpadro"/>
    <w:link w:val="PargrafodaLista"/>
    <w:uiPriority w:val="34"/>
    <w:rsid w:val="00B6735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PGE%202026\PPE\Minutas%20padronizadas\15-10\Topicos_extras.dot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Topicos_extras</Template>
  <TotalTime>0</TotalTime>
  <Pages>4</Pages>
  <Words>1273</Words>
  <Characters>6650</Characters>
  <Application>Microsoft Office Word</Application>
  <DocSecurity>0</DocSecurity>
  <Lines>190</Lines>
  <Paragraphs>102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Heitor Santoro Moreira</dc:creator>
  <cp:keywords/>
  <dc:description/>
  <cp:lastModifiedBy>Renato Heitor Santoro Moreira</cp:lastModifiedBy>
  <cp:revision>2</cp:revision>
  <dcterms:created xsi:type="dcterms:W3CDTF">2026-10-15T18:56:00Z</dcterms:created>
  <dcterms:modified xsi:type="dcterms:W3CDTF">2026-10-15T18:56:00Z</dcterms:modified>
</cp:coreProperties>
</file>